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67" w:rsidRPr="00CC47CD" w:rsidRDefault="00DD134C" w:rsidP="00EE6467">
      <w:pPr>
        <w:spacing w:after="0"/>
        <w:jc w:val="center"/>
        <w:rPr>
          <w:b/>
        </w:rPr>
      </w:pPr>
      <w:bookmarkStart w:id="0" w:name="_GoBack"/>
      <w:bookmarkEnd w:id="0"/>
      <w:r w:rsidRPr="00CC47CD">
        <w:rPr>
          <w:b/>
        </w:rPr>
        <w:t>Wyciąg</w:t>
      </w:r>
      <w:r w:rsidR="00EE6467" w:rsidRPr="00CC47CD">
        <w:rPr>
          <w:b/>
        </w:rPr>
        <w:t xml:space="preserve"> z harmonogramu planowanych  naborów wniosków o udzielenie wsparcia</w:t>
      </w:r>
    </w:p>
    <w:p w:rsidR="00EE6467" w:rsidRPr="00CC47CD" w:rsidRDefault="00EE6467" w:rsidP="00EE6467">
      <w:pPr>
        <w:spacing w:after="0"/>
        <w:jc w:val="center"/>
        <w:rPr>
          <w:b/>
        </w:rPr>
      </w:pPr>
      <w:r w:rsidRPr="00CC47CD">
        <w:rPr>
          <w:b/>
        </w:rPr>
        <w:t>na wdrażanie operacji w ramach strategii rozwoju lokalnego kierowanego przez społeczność</w:t>
      </w:r>
    </w:p>
    <w:p w:rsidR="00EE6467" w:rsidRPr="00CC47CD" w:rsidRDefault="00EE6467" w:rsidP="00EE6467">
      <w:pPr>
        <w:spacing w:after="0"/>
        <w:jc w:val="center"/>
        <w:rPr>
          <w:b/>
        </w:rPr>
      </w:pPr>
    </w:p>
    <w:tbl>
      <w:tblPr>
        <w:tblStyle w:val="Tabela-Siatka"/>
        <w:tblW w:w="0" w:type="auto"/>
        <w:tblLayout w:type="fixed"/>
        <w:tblLook w:val="04A0" w:firstRow="1" w:lastRow="0" w:firstColumn="1" w:lastColumn="0" w:noHBand="0" w:noVBand="1"/>
      </w:tblPr>
      <w:tblGrid>
        <w:gridCol w:w="861"/>
        <w:gridCol w:w="2224"/>
        <w:gridCol w:w="2410"/>
        <w:gridCol w:w="992"/>
        <w:gridCol w:w="7733"/>
      </w:tblGrid>
      <w:tr w:rsidR="00EE6467" w:rsidRPr="00DD134C" w:rsidTr="00B15A11">
        <w:tc>
          <w:tcPr>
            <w:tcW w:w="861" w:type="dxa"/>
            <w:shd w:val="clear" w:color="auto" w:fill="EEECE1" w:themeFill="background2"/>
          </w:tcPr>
          <w:p w:rsidR="00EE6467" w:rsidRPr="00DD134C" w:rsidRDefault="00EE6467" w:rsidP="00EE6467">
            <w:pPr>
              <w:jc w:val="center"/>
              <w:rPr>
                <w:rFonts w:cstheme="minorHAnsi"/>
                <w:b/>
              </w:rPr>
            </w:pPr>
            <w:r w:rsidRPr="00DD134C">
              <w:rPr>
                <w:rFonts w:cstheme="minorHAnsi"/>
              </w:rPr>
              <w:t>Rok naboru</w:t>
            </w:r>
          </w:p>
        </w:tc>
        <w:tc>
          <w:tcPr>
            <w:tcW w:w="2224" w:type="dxa"/>
            <w:shd w:val="clear" w:color="auto" w:fill="EEECE1" w:themeFill="background2"/>
          </w:tcPr>
          <w:p w:rsidR="00B15A11" w:rsidRDefault="00B15A11" w:rsidP="00EE6467">
            <w:pPr>
              <w:jc w:val="center"/>
              <w:rPr>
                <w:rFonts w:cstheme="minorHAnsi"/>
                <w:b/>
              </w:rPr>
            </w:pPr>
          </w:p>
          <w:p w:rsidR="00EE6467" w:rsidRPr="00DD134C" w:rsidRDefault="00EE6467" w:rsidP="00EE6467">
            <w:pPr>
              <w:jc w:val="center"/>
              <w:rPr>
                <w:rFonts w:cstheme="minorHAnsi"/>
                <w:b/>
              </w:rPr>
            </w:pPr>
            <w:r w:rsidRPr="00DD134C">
              <w:rPr>
                <w:rFonts w:cstheme="minorHAnsi"/>
                <w:b/>
              </w:rPr>
              <w:t>LSR</w:t>
            </w:r>
          </w:p>
        </w:tc>
        <w:tc>
          <w:tcPr>
            <w:tcW w:w="2410" w:type="dxa"/>
            <w:shd w:val="clear" w:color="auto" w:fill="EEECE1" w:themeFill="background2"/>
          </w:tcPr>
          <w:p w:rsidR="00B15A11" w:rsidRDefault="00B15A11" w:rsidP="00EE6467">
            <w:pPr>
              <w:jc w:val="center"/>
              <w:rPr>
                <w:rFonts w:cstheme="minorHAnsi"/>
              </w:rPr>
            </w:pPr>
          </w:p>
          <w:p w:rsidR="00EE6467" w:rsidRPr="00DD134C" w:rsidRDefault="00EE6467" w:rsidP="00EE6467">
            <w:pPr>
              <w:jc w:val="center"/>
              <w:rPr>
                <w:rFonts w:cstheme="minorHAnsi"/>
                <w:b/>
              </w:rPr>
            </w:pPr>
            <w:r w:rsidRPr="00DD134C">
              <w:rPr>
                <w:rFonts w:cstheme="minorHAnsi"/>
              </w:rPr>
              <w:t>Zakres PROW</w:t>
            </w:r>
          </w:p>
        </w:tc>
        <w:tc>
          <w:tcPr>
            <w:tcW w:w="992" w:type="dxa"/>
            <w:shd w:val="clear" w:color="auto" w:fill="EEECE1" w:themeFill="background2"/>
          </w:tcPr>
          <w:p w:rsidR="00EE6467" w:rsidRPr="00DD134C" w:rsidRDefault="00EE6467" w:rsidP="00EE6467">
            <w:pPr>
              <w:jc w:val="center"/>
              <w:rPr>
                <w:rFonts w:cstheme="minorHAnsi"/>
                <w:b/>
              </w:rPr>
            </w:pPr>
            <w:r w:rsidRPr="00DD134C">
              <w:rPr>
                <w:rFonts w:cstheme="minorHAnsi"/>
              </w:rPr>
              <w:t>Kwota całego naboru</w:t>
            </w:r>
          </w:p>
        </w:tc>
        <w:tc>
          <w:tcPr>
            <w:tcW w:w="7733" w:type="dxa"/>
            <w:shd w:val="clear" w:color="auto" w:fill="EEECE1" w:themeFill="background2"/>
          </w:tcPr>
          <w:p w:rsidR="00B15A11" w:rsidRDefault="00B15A11" w:rsidP="00EE6467">
            <w:pPr>
              <w:jc w:val="center"/>
              <w:rPr>
                <w:rFonts w:cstheme="minorHAnsi"/>
                <w:b/>
              </w:rPr>
            </w:pPr>
          </w:p>
          <w:p w:rsidR="00EE6467" w:rsidRPr="00DD134C" w:rsidRDefault="00EE6467" w:rsidP="00EE6467">
            <w:pPr>
              <w:jc w:val="center"/>
              <w:rPr>
                <w:rFonts w:cstheme="minorHAnsi"/>
                <w:b/>
              </w:rPr>
            </w:pPr>
            <w:r w:rsidRPr="00DD134C">
              <w:rPr>
                <w:rFonts w:cstheme="minorHAnsi"/>
                <w:b/>
              </w:rPr>
              <w:t>opis</w:t>
            </w:r>
          </w:p>
        </w:tc>
      </w:tr>
      <w:tr w:rsidR="00EE6467" w:rsidRPr="00DD134C" w:rsidTr="00B15A11">
        <w:trPr>
          <w:cantSplit/>
          <w:trHeight w:val="1134"/>
        </w:trPr>
        <w:tc>
          <w:tcPr>
            <w:tcW w:w="861" w:type="dxa"/>
          </w:tcPr>
          <w:p w:rsidR="00EE6467" w:rsidRPr="00DD134C" w:rsidRDefault="007B7839" w:rsidP="00EE6467">
            <w:pPr>
              <w:jc w:val="center"/>
              <w:rPr>
                <w:rFonts w:cstheme="minorHAnsi"/>
                <w:b/>
              </w:rPr>
            </w:pPr>
            <w:r w:rsidRPr="00DD134C">
              <w:rPr>
                <w:rFonts w:cstheme="minorHAnsi"/>
              </w:rPr>
              <w:t>2017</w:t>
            </w:r>
          </w:p>
        </w:tc>
        <w:tc>
          <w:tcPr>
            <w:tcW w:w="2224" w:type="dxa"/>
          </w:tcPr>
          <w:p w:rsidR="00EE6467" w:rsidRPr="008C4F66" w:rsidRDefault="00EE6467" w:rsidP="008C4F66">
            <w:pPr>
              <w:rPr>
                <w:rFonts w:cstheme="minorHAnsi"/>
                <w:b/>
              </w:rPr>
            </w:pPr>
            <w:r w:rsidRPr="008C4F66">
              <w:rPr>
                <w:rFonts w:cstheme="minorHAnsi"/>
                <w:b/>
              </w:rPr>
              <w:t>Przedsięwzięcie I.1.1</w:t>
            </w:r>
          </w:p>
          <w:p w:rsidR="00EE6467" w:rsidRPr="00DD134C" w:rsidRDefault="00EE6467" w:rsidP="00EE6467">
            <w:pPr>
              <w:jc w:val="center"/>
              <w:rPr>
                <w:rFonts w:cstheme="minorHAnsi"/>
                <w:b/>
              </w:rPr>
            </w:pPr>
            <w:r w:rsidRPr="008C4F66">
              <w:rPr>
                <w:rFonts w:cstheme="minorHAnsi"/>
                <w:b/>
              </w:rPr>
              <w:t>Wspieranie powstawania nowych</w:t>
            </w:r>
            <w:r w:rsidR="0027754C">
              <w:rPr>
                <w:rFonts w:cstheme="minorHAnsi"/>
                <w:b/>
              </w:rPr>
              <w:t xml:space="preserve"> i rozwój istniejących innowacyjnych</w:t>
            </w:r>
            <w:r w:rsidRPr="008C4F66">
              <w:rPr>
                <w:rFonts w:cstheme="minorHAnsi"/>
                <w:b/>
              </w:rPr>
              <w:t xml:space="preserve"> przedsięwzięć gospodarczych i społecznych</w:t>
            </w:r>
          </w:p>
        </w:tc>
        <w:tc>
          <w:tcPr>
            <w:tcW w:w="2410" w:type="dxa"/>
          </w:tcPr>
          <w:p w:rsidR="00EA4584" w:rsidRDefault="00EA4584" w:rsidP="00EA4584">
            <w:pPr>
              <w:rPr>
                <w:rFonts w:cstheme="minorHAnsi"/>
              </w:rPr>
            </w:pPr>
            <w:r w:rsidRPr="00DD134C">
              <w:rPr>
                <w:rFonts w:cstheme="minorHAnsi"/>
              </w:rPr>
              <w:t>- budowa lub przebudowa ogólnodostępnej i niekomercyjnej infrastruktury turystycznej lub rekreacyjnej, lub kulturalnej</w:t>
            </w:r>
            <w:r w:rsidR="00DF5F97">
              <w:rPr>
                <w:rFonts w:cstheme="minorHAnsi"/>
              </w:rPr>
              <w:t>;</w:t>
            </w:r>
          </w:p>
          <w:p w:rsidR="00EA4584" w:rsidRPr="00DD134C" w:rsidRDefault="00DF5F97" w:rsidP="00F4455D">
            <w:pPr>
              <w:rPr>
                <w:rFonts w:cstheme="minorHAnsi"/>
                <w:b/>
              </w:rPr>
            </w:pPr>
            <w:r w:rsidRPr="00DD134C">
              <w:rPr>
                <w:rFonts w:cstheme="minorHAnsi"/>
                <w:b/>
              </w:rPr>
              <w:t xml:space="preserve">- </w:t>
            </w:r>
            <w:r w:rsidRPr="00DD134C">
              <w:rPr>
                <w:rFonts w:cstheme="minorHAnsi"/>
              </w:rPr>
              <w:t>wzmocnienia kapitału społecznego, w tym przez podnoszenie wiedzy społeczności lokalnej w zakresie ochrony środowiska i zmian klimatycznych, także z wykorzystaniem rozwiązań innowacyjnych</w:t>
            </w:r>
          </w:p>
        </w:tc>
        <w:tc>
          <w:tcPr>
            <w:tcW w:w="992" w:type="dxa"/>
            <w:textDirection w:val="btLr"/>
          </w:tcPr>
          <w:p w:rsidR="00EE6467" w:rsidRPr="00B15A11" w:rsidRDefault="00EE6467" w:rsidP="00B15A11">
            <w:pPr>
              <w:ind w:left="113" w:right="113"/>
              <w:jc w:val="center"/>
              <w:rPr>
                <w:rFonts w:cstheme="minorHAnsi"/>
                <w:b/>
              </w:rPr>
            </w:pPr>
            <w:r w:rsidRPr="00B15A11">
              <w:rPr>
                <w:rFonts w:cstheme="minorHAnsi"/>
                <w:b/>
              </w:rPr>
              <w:t>500 000,00</w:t>
            </w:r>
          </w:p>
        </w:tc>
        <w:tc>
          <w:tcPr>
            <w:tcW w:w="7733" w:type="dxa"/>
          </w:tcPr>
          <w:p w:rsidR="00A826E1" w:rsidRPr="00B15A11" w:rsidRDefault="00A826E1" w:rsidP="003870A4">
            <w:pPr>
              <w:pStyle w:val="Default"/>
              <w:jc w:val="both"/>
              <w:rPr>
                <w:rFonts w:asciiTheme="minorHAnsi" w:hAnsiTheme="minorHAnsi" w:cstheme="minorHAnsi"/>
                <w:sz w:val="20"/>
                <w:szCs w:val="20"/>
              </w:rPr>
            </w:pPr>
            <w:r w:rsidRPr="00B15A11">
              <w:rPr>
                <w:rFonts w:asciiTheme="minorHAnsi" w:hAnsiTheme="minorHAnsi" w:cstheme="minorHAnsi"/>
                <w:sz w:val="20"/>
                <w:szCs w:val="20"/>
              </w:rPr>
              <w:t xml:space="preserve">W ramach przedsięwzięcia wspierane będą operacje które przyczyniają się do wzmocnienia kapitału ludzkiego oraz wspierać będą rozwój osób przedsiębiorczych poprzez wspieranie powstawania takich miejsc obywatelskiej aktywności jak inkubatory lokalnej przedsiębiorczości, miejsca integrująco/ aktywizujące typu biura co-working, łączące aktywne osoby działające w różnych sektorach. </w:t>
            </w:r>
          </w:p>
          <w:p w:rsidR="00A826E1" w:rsidRPr="00B15A11" w:rsidRDefault="00A826E1" w:rsidP="003870A4">
            <w:pPr>
              <w:pStyle w:val="Default"/>
              <w:jc w:val="both"/>
              <w:rPr>
                <w:rFonts w:asciiTheme="minorHAnsi" w:hAnsiTheme="minorHAnsi" w:cstheme="minorHAnsi"/>
                <w:sz w:val="20"/>
                <w:szCs w:val="20"/>
              </w:rPr>
            </w:pPr>
            <w:r w:rsidRPr="00B15A11">
              <w:rPr>
                <w:rFonts w:asciiTheme="minorHAnsi" w:hAnsiTheme="minorHAnsi" w:cstheme="minorHAnsi"/>
                <w:sz w:val="20"/>
                <w:szCs w:val="20"/>
              </w:rPr>
              <w:t xml:space="preserve">Wspierane projekty będą ukierunkowane na powstawanie i rozwój istniejących i nowych, innowacyjnych przedsięwzięć gospodarczych i społecznych oraz kulturalnych, w tym m.in. biblioteki plenerowe i miejsca aktywności społecznej oraz lokalne centra integracji środowiskowej. </w:t>
            </w:r>
          </w:p>
          <w:p w:rsidR="00A826E1" w:rsidRPr="00B15A11" w:rsidRDefault="00A826E1" w:rsidP="003870A4">
            <w:pPr>
              <w:pStyle w:val="Default"/>
              <w:jc w:val="both"/>
              <w:rPr>
                <w:rFonts w:asciiTheme="minorHAnsi" w:hAnsiTheme="minorHAnsi" w:cstheme="minorHAnsi"/>
                <w:sz w:val="20"/>
                <w:szCs w:val="20"/>
              </w:rPr>
            </w:pPr>
            <w:r w:rsidRPr="00B15A11">
              <w:rPr>
                <w:rFonts w:asciiTheme="minorHAnsi" w:hAnsiTheme="minorHAnsi" w:cstheme="minorHAnsi"/>
                <w:sz w:val="20"/>
                <w:szCs w:val="20"/>
              </w:rPr>
              <w:t xml:space="preserve">Projekty będą kierowane w szczególności do następujących grup docelowych: osoby przedsiębiorcze zamieszkujących obszar LGD, w szczególności kobiety i osoby młode wchodzące na rynek pracy, liderów lokalnych społeczności działający w strukturach sformalizowanych i w grupach nieformalnych, aktywnych mieszkańców obszaru LGD. </w:t>
            </w:r>
          </w:p>
          <w:p w:rsidR="00DD134C" w:rsidRPr="00B15A11" w:rsidRDefault="00DD134C" w:rsidP="003870A4">
            <w:pPr>
              <w:pStyle w:val="Default"/>
              <w:jc w:val="both"/>
              <w:rPr>
                <w:rFonts w:asciiTheme="minorHAnsi" w:hAnsiTheme="minorHAnsi" w:cstheme="minorHAnsi"/>
                <w:b/>
                <w:sz w:val="20"/>
                <w:szCs w:val="20"/>
              </w:rPr>
            </w:pPr>
            <w:r w:rsidRPr="00B15A11">
              <w:rPr>
                <w:rFonts w:asciiTheme="minorHAnsi" w:hAnsiTheme="minorHAnsi" w:cstheme="minorHAnsi"/>
                <w:b/>
                <w:sz w:val="20"/>
                <w:szCs w:val="20"/>
              </w:rPr>
              <w:t>Wskaźniki produktu:</w:t>
            </w:r>
          </w:p>
          <w:p w:rsidR="00DD134C" w:rsidRPr="00B15A11" w:rsidRDefault="00A826E1" w:rsidP="003870A4">
            <w:pPr>
              <w:pStyle w:val="Default"/>
              <w:numPr>
                <w:ilvl w:val="0"/>
                <w:numId w:val="6"/>
              </w:numPr>
              <w:jc w:val="both"/>
              <w:rPr>
                <w:rFonts w:asciiTheme="minorHAnsi" w:hAnsiTheme="minorHAnsi" w:cstheme="minorHAnsi"/>
                <w:sz w:val="20"/>
                <w:szCs w:val="20"/>
              </w:rPr>
            </w:pPr>
            <w:r w:rsidRPr="00B15A11">
              <w:rPr>
                <w:rFonts w:asciiTheme="minorHAnsi" w:hAnsiTheme="minorHAnsi" w:cstheme="minorHAnsi"/>
                <w:sz w:val="20"/>
                <w:szCs w:val="20"/>
              </w:rPr>
              <w:t>Liczba projektów ukierunkowanych na innowacje społeczne i gospodarcze</w:t>
            </w:r>
            <w:r w:rsidR="0067706A" w:rsidRPr="00B15A11">
              <w:rPr>
                <w:rFonts w:asciiTheme="minorHAnsi" w:hAnsiTheme="minorHAnsi" w:cstheme="minorHAnsi"/>
                <w:sz w:val="20"/>
                <w:szCs w:val="20"/>
              </w:rPr>
              <w:t xml:space="preserve"> (1)</w:t>
            </w:r>
            <w:r w:rsidRPr="00B15A11">
              <w:rPr>
                <w:rFonts w:asciiTheme="minorHAnsi" w:hAnsiTheme="minorHAnsi" w:cstheme="minorHAnsi"/>
                <w:sz w:val="20"/>
                <w:szCs w:val="20"/>
              </w:rPr>
              <w:t xml:space="preserve">. </w:t>
            </w:r>
          </w:p>
          <w:p w:rsidR="00EE6467" w:rsidRPr="00B15A11" w:rsidRDefault="00A826E1" w:rsidP="003870A4">
            <w:pPr>
              <w:pStyle w:val="Default"/>
              <w:numPr>
                <w:ilvl w:val="0"/>
                <w:numId w:val="6"/>
              </w:numPr>
              <w:jc w:val="both"/>
              <w:rPr>
                <w:rFonts w:asciiTheme="minorHAnsi" w:hAnsiTheme="minorHAnsi" w:cstheme="minorHAnsi"/>
                <w:sz w:val="20"/>
                <w:szCs w:val="20"/>
              </w:rPr>
            </w:pPr>
            <w:r w:rsidRPr="00B15A11">
              <w:rPr>
                <w:rFonts w:asciiTheme="minorHAnsi" w:hAnsiTheme="minorHAnsi" w:cstheme="minorHAnsi"/>
                <w:sz w:val="20"/>
                <w:szCs w:val="20"/>
              </w:rPr>
              <w:t>Liczba operacji obejmujących budowę, przebudowę i wyposażenie obiektów należących do podmiotów działających w sferze kultury i lokalnej gospodarki</w:t>
            </w:r>
            <w:r w:rsidR="0067706A" w:rsidRPr="00B15A11">
              <w:rPr>
                <w:rFonts w:asciiTheme="minorHAnsi" w:hAnsiTheme="minorHAnsi" w:cstheme="minorHAnsi"/>
                <w:sz w:val="20"/>
                <w:szCs w:val="20"/>
              </w:rPr>
              <w:t xml:space="preserve"> (1)</w:t>
            </w:r>
            <w:r w:rsidRPr="00B15A11">
              <w:rPr>
                <w:rFonts w:asciiTheme="minorHAnsi" w:hAnsiTheme="minorHAnsi" w:cstheme="minorHAnsi"/>
                <w:sz w:val="20"/>
                <w:szCs w:val="20"/>
              </w:rPr>
              <w:t xml:space="preserve"> .</w:t>
            </w:r>
          </w:p>
        </w:tc>
      </w:tr>
      <w:tr w:rsidR="00EE6467" w:rsidRPr="00DD134C" w:rsidTr="005E63D2">
        <w:trPr>
          <w:cantSplit/>
          <w:trHeight w:val="6931"/>
        </w:trPr>
        <w:tc>
          <w:tcPr>
            <w:tcW w:w="861" w:type="dxa"/>
          </w:tcPr>
          <w:p w:rsidR="00EE6467" w:rsidRPr="00DD134C" w:rsidRDefault="00EE6467" w:rsidP="00EE6467">
            <w:pPr>
              <w:jc w:val="center"/>
              <w:rPr>
                <w:rFonts w:cstheme="minorHAnsi"/>
                <w:b/>
              </w:rPr>
            </w:pPr>
          </w:p>
        </w:tc>
        <w:tc>
          <w:tcPr>
            <w:tcW w:w="2224" w:type="dxa"/>
          </w:tcPr>
          <w:p w:rsidR="007B7839" w:rsidRPr="008C4F66" w:rsidRDefault="007B7839" w:rsidP="008C4F66">
            <w:pPr>
              <w:rPr>
                <w:rFonts w:cstheme="minorHAnsi"/>
                <w:b/>
              </w:rPr>
            </w:pPr>
            <w:r w:rsidRPr="008C4F66">
              <w:rPr>
                <w:rFonts w:cstheme="minorHAnsi"/>
                <w:b/>
              </w:rPr>
              <w:t>Przedsięwzięcie I.2.2</w:t>
            </w:r>
          </w:p>
          <w:p w:rsidR="00EE6467" w:rsidRPr="00DD134C" w:rsidRDefault="007B7839" w:rsidP="007B7839">
            <w:pPr>
              <w:jc w:val="center"/>
              <w:rPr>
                <w:rFonts w:cstheme="minorHAnsi"/>
                <w:b/>
              </w:rPr>
            </w:pPr>
            <w:r w:rsidRPr="008C4F66">
              <w:rPr>
                <w:rFonts w:cstheme="minorHAnsi"/>
                <w:b/>
              </w:rPr>
              <w:t>Wzmocnienie kapitału społecznego oraz rozwój produktów lokalnych</w:t>
            </w:r>
          </w:p>
        </w:tc>
        <w:tc>
          <w:tcPr>
            <w:tcW w:w="2410" w:type="dxa"/>
          </w:tcPr>
          <w:p w:rsidR="00EE6467" w:rsidRPr="00372261" w:rsidRDefault="00EA4584" w:rsidP="00EA4584">
            <w:pPr>
              <w:rPr>
                <w:rFonts w:cstheme="minorHAnsi"/>
              </w:rPr>
            </w:pPr>
            <w:r w:rsidRPr="00DD134C">
              <w:rPr>
                <w:rFonts w:cstheme="minorHAnsi"/>
                <w:b/>
              </w:rPr>
              <w:t xml:space="preserve">- </w:t>
            </w:r>
            <w:r w:rsidRPr="00DD134C">
              <w:rPr>
                <w:rFonts w:cstheme="minorHAnsi"/>
              </w:rPr>
              <w:t xml:space="preserve">wzmocnienia kapitału społecznego, w tym przez podnoszenie wiedzy społeczności lokalnej w zakresie ochrony </w:t>
            </w:r>
            <w:r w:rsidRPr="00372261">
              <w:rPr>
                <w:rFonts w:cstheme="minorHAnsi"/>
              </w:rPr>
              <w:t>środowiska i zmian klimatycznych, także z wykorzystaniem rozwiązań innowacyjnych</w:t>
            </w:r>
          </w:p>
          <w:p w:rsidR="00EA4584" w:rsidRPr="00372261" w:rsidRDefault="00EA4584" w:rsidP="00EA4584">
            <w:pPr>
              <w:rPr>
                <w:rFonts w:cstheme="minorHAnsi"/>
              </w:rPr>
            </w:pPr>
            <w:r w:rsidRPr="00372261">
              <w:rPr>
                <w:rFonts w:cstheme="minorHAnsi"/>
              </w:rPr>
              <w:t>- zachowania dziedzictwa lokalnego</w:t>
            </w:r>
          </w:p>
          <w:p w:rsidR="00EA4584" w:rsidRPr="00DD134C" w:rsidRDefault="00EA4584" w:rsidP="00F4455D">
            <w:pPr>
              <w:rPr>
                <w:rFonts w:cstheme="minorHAnsi"/>
                <w:b/>
              </w:rPr>
            </w:pPr>
            <w:r w:rsidRPr="00372261">
              <w:rPr>
                <w:rFonts w:cstheme="minorHAnsi"/>
              </w:rPr>
              <w:t>- promowania obszaru objętego LSR, w tym produktów lub usług lokalnych</w:t>
            </w:r>
          </w:p>
        </w:tc>
        <w:tc>
          <w:tcPr>
            <w:tcW w:w="992" w:type="dxa"/>
            <w:textDirection w:val="btLr"/>
          </w:tcPr>
          <w:p w:rsidR="00EE6467" w:rsidRPr="00B15A11" w:rsidRDefault="00EE6467" w:rsidP="00B15A11">
            <w:pPr>
              <w:ind w:left="113" w:right="113"/>
              <w:jc w:val="center"/>
              <w:rPr>
                <w:rFonts w:cstheme="minorHAnsi"/>
                <w:b/>
              </w:rPr>
            </w:pPr>
            <w:r w:rsidRPr="00B15A11">
              <w:rPr>
                <w:rFonts w:cstheme="minorHAnsi"/>
                <w:b/>
              </w:rPr>
              <w:t>100 000,00</w:t>
            </w:r>
          </w:p>
        </w:tc>
        <w:tc>
          <w:tcPr>
            <w:tcW w:w="7733" w:type="dxa"/>
          </w:tcPr>
          <w:p w:rsidR="00A826E1" w:rsidRPr="00B15A11" w:rsidRDefault="00A826E1" w:rsidP="003870A4">
            <w:pPr>
              <w:pStyle w:val="Default"/>
              <w:jc w:val="both"/>
              <w:rPr>
                <w:rFonts w:asciiTheme="minorHAnsi" w:hAnsiTheme="minorHAnsi" w:cstheme="minorHAnsi"/>
                <w:sz w:val="20"/>
                <w:szCs w:val="20"/>
              </w:rPr>
            </w:pPr>
            <w:r w:rsidRPr="00B15A11">
              <w:rPr>
                <w:rFonts w:asciiTheme="minorHAnsi" w:hAnsiTheme="minorHAnsi" w:cstheme="minorHAnsi"/>
                <w:sz w:val="20"/>
                <w:szCs w:val="20"/>
              </w:rPr>
              <w:t xml:space="preserve">W ramach przedsięwzięcia wspierane będą operacje pozwalające nabyć nowe umiejętności przydatne na rynku pracy i przy poszukiwaniu alternatywnych źródeł dochodów oraz poszerzających lokalną ofert w zakresie produktów lokalnych, charakterystycznych dla potencjału i zasobów lokalnych. Projekty będą wzmacniały poczucie tożsamości i przynależności do społeczności lokalnej oraz budowały lokalne dziedzictwo kulturowe. Realizowane przedsięwzięcia aktywizując różne grupy mieszkańców, promować będą obszar, produkty i usługi lokalne. </w:t>
            </w:r>
          </w:p>
          <w:p w:rsidR="00A826E1" w:rsidRPr="00B15A11" w:rsidRDefault="00A826E1" w:rsidP="003870A4">
            <w:pPr>
              <w:pStyle w:val="Default"/>
              <w:jc w:val="both"/>
              <w:rPr>
                <w:rFonts w:asciiTheme="minorHAnsi" w:hAnsiTheme="minorHAnsi" w:cstheme="minorHAnsi"/>
                <w:sz w:val="20"/>
                <w:szCs w:val="20"/>
              </w:rPr>
            </w:pPr>
            <w:r w:rsidRPr="00B15A11">
              <w:rPr>
                <w:rFonts w:asciiTheme="minorHAnsi" w:hAnsiTheme="minorHAnsi" w:cstheme="minorHAnsi"/>
                <w:sz w:val="20"/>
                <w:szCs w:val="20"/>
              </w:rPr>
              <w:t xml:space="preserve">Projekty będą kierowane w szczególności do następujących grup docelowych: osoby przedsiębiorcze w tym przedsiębiorcy zamieszkujących obszar LGD, w szczególności kobiety i osoby młode wchodzące na rynek pracy, liderów lokalnych społeczności działający w strukturach sformalizowanych i w grupach nieformalnych, aktywnych mieszkańców obszaru LGD. </w:t>
            </w:r>
          </w:p>
          <w:p w:rsidR="00A826E1" w:rsidRPr="00B15A11" w:rsidRDefault="00A826E1" w:rsidP="003870A4">
            <w:pPr>
              <w:pStyle w:val="Default"/>
              <w:jc w:val="both"/>
              <w:rPr>
                <w:rFonts w:asciiTheme="minorHAnsi" w:hAnsiTheme="minorHAnsi" w:cstheme="minorHAnsi"/>
                <w:b/>
                <w:sz w:val="20"/>
                <w:szCs w:val="20"/>
              </w:rPr>
            </w:pPr>
            <w:r w:rsidRPr="00B15A11">
              <w:rPr>
                <w:rFonts w:asciiTheme="minorHAnsi" w:hAnsiTheme="minorHAnsi" w:cstheme="minorHAnsi"/>
                <w:b/>
                <w:sz w:val="20"/>
                <w:szCs w:val="20"/>
              </w:rPr>
              <w:t>Wskaźnik</w:t>
            </w:r>
            <w:r w:rsidR="00DD134C" w:rsidRPr="00B15A11">
              <w:rPr>
                <w:rFonts w:asciiTheme="minorHAnsi" w:hAnsiTheme="minorHAnsi" w:cstheme="minorHAnsi"/>
                <w:b/>
                <w:sz w:val="20"/>
                <w:szCs w:val="20"/>
              </w:rPr>
              <w:t>i</w:t>
            </w:r>
            <w:r w:rsidRPr="00B15A11">
              <w:rPr>
                <w:rFonts w:asciiTheme="minorHAnsi" w:hAnsiTheme="minorHAnsi" w:cstheme="minorHAnsi"/>
                <w:b/>
                <w:sz w:val="20"/>
                <w:szCs w:val="20"/>
              </w:rPr>
              <w:t xml:space="preserve"> produktu: </w:t>
            </w:r>
          </w:p>
          <w:p w:rsidR="00EE6467" w:rsidRPr="00B15A11" w:rsidRDefault="004E5C69" w:rsidP="003870A4">
            <w:pPr>
              <w:pStyle w:val="Default"/>
              <w:numPr>
                <w:ilvl w:val="0"/>
                <w:numId w:val="7"/>
              </w:numPr>
              <w:jc w:val="both"/>
              <w:rPr>
                <w:rFonts w:asciiTheme="minorHAnsi" w:hAnsiTheme="minorHAnsi" w:cstheme="minorHAnsi"/>
                <w:sz w:val="20"/>
                <w:szCs w:val="20"/>
              </w:rPr>
            </w:pPr>
            <w:r>
              <w:rPr>
                <w:rFonts w:asciiTheme="minorHAnsi" w:hAnsiTheme="minorHAnsi" w:cstheme="minorHAnsi"/>
                <w:sz w:val="20"/>
                <w:szCs w:val="20"/>
              </w:rPr>
              <w:t>Liczba projektów ukierunkowanych na rozwój produktów lokalnych</w:t>
            </w:r>
            <w:r w:rsidR="0067706A" w:rsidRPr="00B15A11">
              <w:rPr>
                <w:rFonts w:asciiTheme="minorHAnsi" w:hAnsiTheme="minorHAnsi" w:cstheme="minorHAnsi"/>
                <w:sz w:val="20"/>
                <w:szCs w:val="20"/>
              </w:rPr>
              <w:t xml:space="preserve"> (2)</w:t>
            </w:r>
            <w:r w:rsidR="00A826E1" w:rsidRPr="00B15A11">
              <w:rPr>
                <w:rFonts w:asciiTheme="minorHAnsi" w:hAnsiTheme="minorHAnsi" w:cstheme="minorHAnsi"/>
                <w:sz w:val="20"/>
                <w:szCs w:val="20"/>
              </w:rPr>
              <w:t xml:space="preserve">. </w:t>
            </w:r>
          </w:p>
        </w:tc>
      </w:tr>
      <w:tr w:rsidR="00EE6467" w:rsidRPr="00DD134C" w:rsidTr="00B15A11">
        <w:trPr>
          <w:cantSplit/>
          <w:trHeight w:val="1134"/>
        </w:trPr>
        <w:tc>
          <w:tcPr>
            <w:tcW w:w="861" w:type="dxa"/>
          </w:tcPr>
          <w:p w:rsidR="00EE6467" w:rsidRPr="00DD134C" w:rsidRDefault="007B7839" w:rsidP="00EE6467">
            <w:pPr>
              <w:jc w:val="center"/>
              <w:rPr>
                <w:rFonts w:cstheme="minorHAnsi"/>
                <w:b/>
              </w:rPr>
            </w:pPr>
            <w:r w:rsidRPr="00DD134C">
              <w:rPr>
                <w:rFonts w:cstheme="minorHAnsi"/>
              </w:rPr>
              <w:lastRenderedPageBreak/>
              <w:t>2018</w:t>
            </w:r>
          </w:p>
        </w:tc>
        <w:tc>
          <w:tcPr>
            <w:tcW w:w="2224" w:type="dxa"/>
          </w:tcPr>
          <w:p w:rsidR="007B7839" w:rsidRPr="008C4F66" w:rsidRDefault="007B7839" w:rsidP="008C4F66">
            <w:pPr>
              <w:rPr>
                <w:rFonts w:cstheme="minorHAnsi"/>
                <w:b/>
              </w:rPr>
            </w:pPr>
            <w:r w:rsidRPr="008C4F66">
              <w:rPr>
                <w:rFonts w:cstheme="minorHAnsi"/>
                <w:b/>
              </w:rPr>
              <w:t>Przedsięwzięcie I.4.1</w:t>
            </w:r>
          </w:p>
          <w:p w:rsidR="00EE6467" w:rsidRPr="00DD134C" w:rsidRDefault="007B7839" w:rsidP="007B7839">
            <w:pPr>
              <w:jc w:val="center"/>
              <w:rPr>
                <w:rFonts w:cstheme="minorHAnsi"/>
                <w:b/>
              </w:rPr>
            </w:pPr>
            <w:r w:rsidRPr="008C4F66">
              <w:rPr>
                <w:rFonts w:cstheme="minorHAnsi"/>
                <w:b/>
              </w:rPr>
              <w:t>Projekty realizowane w ramach rozwoju tzw. Srebrnej ekonomii</w:t>
            </w:r>
          </w:p>
        </w:tc>
        <w:tc>
          <w:tcPr>
            <w:tcW w:w="2410" w:type="dxa"/>
          </w:tcPr>
          <w:p w:rsidR="00EE6467" w:rsidRPr="00DD134C" w:rsidRDefault="00EE6467" w:rsidP="00EE6467">
            <w:pPr>
              <w:jc w:val="center"/>
              <w:rPr>
                <w:rFonts w:cstheme="minorHAnsi"/>
                <w:b/>
              </w:rPr>
            </w:pPr>
          </w:p>
        </w:tc>
        <w:tc>
          <w:tcPr>
            <w:tcW w:w="992" w:type="dxa"/>
            <w:textDirection w:val="btLr"/>
          </w:tcPr>
          <w:p w:rsidR="00EE6467" w:rsidRPr="00B15A11" w:rsidRDefault="00EE6467" w:rsidP="00B15A11">
            <w:pPr>
              <w:ind w:left="113" w:right="113"/>
              <w:jc w:val="center"/>
              <w:rPr>
                <w:rFonts w:cstheme="minorHAnsi"/>
                <w:b/>
              </w:rPr>
            </w:pPr>
            <w:r w:rsidRPr="00B15A11">
              <w:rPr>
                <w:rFonts w:cstheme="minorHAnsi"/>
                <w:b/>
              </w:rPr>
              <w:t>100 000,00</w:t>
            </w:r>
          </w:p>
        </w:tc>
        <w:tc>
          <w:tcPr>
            <w:tcW w:w="7733" w:type="dxa"/>
          </w:tcPr>
          <w:p w:rsidR="00A826E1" w:rsidRPr="00B15A11" w:rsidRDefault="00A826E1" w:rsidP="003870A4">
            <w:pPr>
              <w:pStyle w:val="Default"/>
              <w:jc w:val="both"/>
              <w:rPr>
                <w:rFonts w:asciiTheme="minorHAnsi" w:hAnsiTheme="minorHAnsi" w:cstheme="minorHAnsi"/>
                <w:sz w:val="20"/>
                <w:szCs w:val="20"/>
              </w:rPr>
            </w:pPr>
            <w:r w:rsidRPr="00B15A11">
              <w:rPr>
                <w:rFonts w:asciiTheme="minorHAnsi" w:hAnsiTheme="minorHAnsi" w:cstheme="minorHAnsi"/>
                <w:sz w:val="20"/>
                <w:szCs w:val="20"/>
              </w:rPr>
              <w:t xml:space="preserve">W ramach przedsięwzięcia wspierane będą operacje które przyczyniają się do integracji mieszkańców z różnych grup wiekowych a szczególnie wsparcia osób starszych i niesamodzielnych. Wspierane będą projekty dzięki którym likwidowane będą bariery architektoniczne, rozbudowywane miejsca dziennej aktywności dla seniorów oraz osób znajdujących się w szczególnie trudnej sytuacji życiowej. Przedsięwzięcia z zakresu tzw. srebrnej ekonomii wykorzystywać będą takie innowacyjne narzędzia integracji środowiskowej jak banki czasu lub nowe formy szkoleń i warsztatów dla seniorów. </w:t>
            </w:r>
          </w:p>
          <w:p w:rsidR="00A826E1" w:rsidRPr="00B15A11" w:rsidRDefault="00A826E1" w:rsidP="003870A4">
            <w:pPr>
              <w:pStyle w:val="Default"/>
              <w:jc w:val="both"/>
              <w:rPr>
                <w:rFonts w:asciiTheme="minorHAnsi" w:hAnsiTheme="minorHAnsi" w:cstheme="minorHAnsi"/>
                <w:sz w:val="20"/>
                <w:szCs w:val="20"/>
              </w:rPr>
            </w:pPr>
            <w:r w:rsidRPr="00B15A11">
              <w:rPr>
                <w:rFonts w:asciiTheme="minorHAnsi" w:hAnsiTheme="minorHAnsi" w:cstheme="minorHAnsi"/>
                <w:sz w:val="20"/>
                <w:szCs w:val="20"/>
              </w:rPr>
              <w:t xml:space="preserve">Projekty w sposób innowacyjny wzmacniające ofertę komplementarnych usług o charakterze społecznym będą kierowane w szczególności do następujących grup docelowych: osoby starsze i niesamodzielne oraz z tzw. grup defaworyzowanych. </w:t>
            </w:r>
          </w:p>
          <w:p w:rsidR="00DD134C" w:rsidRPr="00B15A11" w:rsidRDefault="00A826E1" w:rsidP="003870A4">
            <w:pPr>
              <w:pStyle w:val="Default"/>
              <w:jc w:val="both"/>
              <w:rPr>
                <w:rFonts w:asciiTheme="minorHAnsi" w:hAnsiTheme="minorHAnsi" w:cstheme="minorHAnsi"/>
                <w:b/>
                <w:sz w:val="20"/>
                <w:szCs w:val="20"/>
              </w:rPr>
            </w:pPr>
            <w:r w:rsidRPr="00B15A11">
              <w:rPr>
                <w:rFonts w:asciiTheme="minorHAnsi" w:hAnsiTheme="minorHAnsi" w:cstheme="minorHAnsi"/>
                <w:b/>
                <w:sz w:val="20"/>
                <w:szCs w:val="20"/>
              </w:rPr>
              <w:t xml:space="preserve">Wskaźnik produktu: </w:t>
            </w:r>
          </w:p>
          <w:p w:rsidR="00EE6467" w:rsidRPr="00B15A11" w:rsidRDefault="00A826E1" w:rsidP="003870A4">
            <w:pPr>
              <w:pStyle w:val="Default"/>
              <w:numPr>
                <w:ilvl w:val="0"/>
                <w:numId w:val="10"/>
              </w:numPr>
              <w:jc w:val="both"/>
              <w:rPr>
                <w:rFonts w:asciiTheme="minorHAnsi" w:hAnsiTheme="minorHAnsi" w:cstheme="minorHAnsi"/>
                <w:sz w:val="20"/>
                <w:szCs w:val="20"/>
              </w:rPr>
            </w:pPr>
            <w:r w:rsidRPr="00B15A11">
              <w:rPr>
                <w:rFonts w:asciiTheme="minorHAnsi" w:hAnsiTheme="minorHAnsi" w:cstheme="minorHAnsi"/>
                <w:sz w:val="20"/>
                <w:szCs w:val="20"/>
              </w:rPr>
              <w:t>Liczba operacji polegających na likwidacji barier architektonicznych</w:t>
            </w:r>
            <w:r w:rsidR="0067706A" w:rsidRPr="00B15A11">
              <w:rPr>
                <w:rFonts w:asciiTheme="minorHAnsi" w:hAnsiTheme="minorHAnsi" w:cstheme="minorHAnsi"/>
                <w:sz w:val="20"/>
                <w:szCs w:val="20"/>
              </w:rPr>
              <w:t xml:space="preserve"> (1)</w:t>
            </w:r>
          </w:p>
        </w:tc>
      </w:tr>
      <w:tr w:rsidR="00EE6467" w:rsidRPr="00DD134C" w:rsidTr="00B15A11">
        <w:trPr>
          <w:cantSplit/>
          <w:trHeight w:val="1134"/>
        </w:trPr>
        <w:tc>
          <w:tcPr>
            <w:tcW w:w="861" w:type="dxa"/>
          </w:tcPr>
          <w:p w:rsidR="00EE6467" w:rsidRPr="00DD134C" w:rsidRDefault="007B7839" w:rsidP="00EE6467">
            <w:pPr>
              <w:jc w:val="center"/>
              <w:rPr>
                <w:rFonts w:cstheme="minorHAnsi"/>
                <w:b/>
              </w:rPr>
            </w:pPr>
            <w:r w:rsidRPr="00DD134C">
              <w:rPr>
                <w:rFonts w:cstheme="minorHAnsi"/>
              </w:rPr>
              <w:t>2019</w:t>
            </w:r>
          </w:p>
        </w:tc>
        <w:tc>
          <w:tcPr>
            <w:tcW w:w="2224" w:type="dxa"/>
          </w:tcPr>
          <w:p w:rsidR="007B7839" w:rsidRPr="008C4F66" w:rsidRDefault="007B7839" w:rsidP="008C4F66">
            <w:pPr>
              <w:rPr>
                <w:rFonts w:cstheme="minorHAnsi"/>
                <w:b/>
              </w:rPr>
            </w:pPr>
            <w:r w:rsidRPr="008C4F66">
              <w:rPr>
                <w:rFonts w:cstheme="minorHAnsi"/>
                <w:b/>
              </w:rPr>
              <w:t>Przedsięwzięcie I.1.1</w:t>
            </w:r>
          </w:p>
          <w:p w:rsidR="00EE6467" w:rsidRPr="00DD134C" w:rsidRDefault="007B7839" w:rsidP="007B7839">
            <w:pPr>
              <w:jc w:val="center"/>
              <w:rPr>
                <w:rFonts w:cstheme="minorHAnsi"/>
                <w:b/>
              </w:rPr>
            </w:pPr>
            <w:r w:rsidRPr="008C4F66">
              <w:rPr>
                <w:rFonts w:cstheme="minorHAnsi"/>
                <w:b/>
              </w:rPr>
              <w:t>Wspieranie powstawania nowych</w:t>
            </w:r>
            <w:r w:rsidR="0027754C">
              <w:rPr>
                <w:rFonts w:cstheme="minorHAnsi"/>
                <w:b/>
              </w:rPr>
              <w:t xml:space="preserve"> i rozwój istniejących innowacyjnych</w:t>
            </w:r>
            <w:r w:rsidRPr="008C4F66">
              <w:rPr>
                <w:rFonts w:cstheme="minorHAnsi"/>
                <w:b/>
              </w:rPr>
              <w:t xml:space="preserve"> przedsięwzięć gospodarczych i społecznych</w:t>
            </w:r>
          </w:p>
        </w:tc>
        <w:tc>
          <w:tcPr>
            <w:tcW w:w="2410" w:type="dxa"/>
          </w:tcPr>
          <w:p w:rsidR="00EE6467" w:rsidRPr="00DD134C" w:rsidRDefault="00EE6467" w:rsidP="00EE6467">
            <w:pPr>
              <w:jc w:val="center"/>
              <w:rPr>
                <w:rFonts w:cstheme="minorHAnsi"/>
                <w:b/>
              </w:rPr>
            </w:pPr>
          </w:p>
        </w:tc>
        <w:tc>
          <w:tcPr>
            <w:tcW w:w="992" w:type="dxa"/>
            <w:textDirection w:val="btLr"/>
          </w:tcPr>
          <w:p w:rsidR="00EE6467" w:rsidRPr="00B15A11" w:rsidRDefault="007B7839" w:rsidP="00B15A11">
            <w:pPr>
              <w:ind w:left="113" w:right="113"/>
              <w:jc w:val="center"/>
              <w:rPr>
                <w:rFonts w:cstheme="minorHAnsi"/>
                <w:b/>
              </w:rPr>
            </w:pPr>
            <w:r w:rsidRPr="00B15A11">
              <w:rPr>
                <w:rFonts w:cstheme="minorHAnsi"/>
                <w:b/>
              </w:rPr>
              <w:t>400 000,00</w:t>
            </w:r>
          </w:p>
        </w:tc>
        <w:tc>
          <w:tcPr>
            <w:tcW w:w="7733" w:type="dxa"/>
          </w:tcPr>
          <w:p w:rsidR="00EE6467" w:rsidRPr="00B15A11" w:rsidRDefault="00A826E1" w:rsidP="003870A4">
            <w:pPr>
              <w:jc w:val="both"/>
              <w:rPr>
                <w:rFonts w:cstheme="minorHAnsi"/>
                <w:sz w:val="20"/>
                <w:szCs w:val="20"/>
              </w:rPr>
            </w:pPr>
            <w:r w:rsidRPr="00B15A11">
              <w:rPr>
                <w:rFonts w:cstheme="minorHAnsi"/>
                <w:sz w:val="20"/>
                <w:szCs w:val="20"/>
              </w:rPr>
              <w:t>j.w</w:t>
            </w:r>
            <w:r w:rsidR="00F4455D" w:rsidRPr="00B15A11">
              <w:rPr>
                <w:rFonts w:cstheme="minorHAnsi"/>
                <w:sz w:val="20"/>
                <w:szCs w:val="20"/>
              </w:rPr>
              <w:t xml:space="preserve"> w przedsięwzięciu I.1.1</w:t>
            </w:r>
          </w:p>
          <w:p w:rsidR="0067706A" w:rsidRPr="00B15A11" w:rsidRDefault="0067706A" w:rsidP="003870A4">
            <w:pPr>
              <w:pStyle w:val="Default"/>
              <w:jc w:val="both"/>
              <w:rPr>
                <w:rFonts w:asciiTheme="minorHAnsi" w:hAnsiTheme="minorHAnsi" w:cstheme="minorHAnsi"/>
                <w:b/>
                <w:sz w:val="20"/>
                <w:szCs w:val="20"/>
              </w:rPr>
            </w:pPr>
            <w:r w:rsidRPr="00B15A11">
              <w:rPr>
                <w:rFonts w:asciiTheme="minorHAnsi" w:hAnsiTheme="minorHAnsi" w:cstheme="minorHAnsi"/>
                <w:b/>
                <w:sz w:val="20"/>
                <w:szCs w:val="20"/>
              </w:rPr>
              <w:t>Wskaźniki produktu:</w:t>
            </w:r>
          </w:p>
          <w:p w:rsidR="0067706A" w:rsidRPr="00B15A11" w:rsidRDefault="0067706A" w:rsidP="003870A4">
            <w:pPr>
              <w:pStyle w:val="Default"/>
              <w:numPr>
                <w:ilvl w:val="0"/>
                <w:numId w:val="11"/>
              </w:numPr>
              <w:jc w:val="both"/>
              <w:rPr>
                <w:rFonts w:asciiTheme="minorHAnsi" w:hAnsiTheme="minorHAnsi" w:cstheme="minorHAnsi"/>
                <w:sz w:val="20"/>
                <w:szCs w:val="20"/>
              </w:rPr>
            </w:pPr>
            <w:r w:rsidRPr="00B15A11">
              <w:rPr>
                <w:rFonts w:asciiTheme="minorHAnsi" w:hAnsiTheme="minorHAnsi" w:cstheme="minorHAnsi"/>
                <w:sz w:val="20"/>
                <w:szCs w:val="20"/>
              </w:rPr>
              <w:t xml:space="preserve">Liczba projektów ukierunkowanych na innowacje społeczne i gospodarcze (0). </w:t>
            </w:r>
          </w:p>
          <w:p w:rsidR="0067706A" w:rsidRPr="00B15A11" w:rsidRDefault="0067706A" w:rsidP="003870A4">
            <w:pPr>
              <w:pStyle w:val="Default"/>
              <w:numPr>
                <w:ilvl w:val="0"/>
                <w:numId w:val="11"/>
              </w:numPr>
              <w:jc w:val="both"/>
              <w:rPr>
                <w:rFonts w:asciiTheme="minorHAnsi" w:hAnsiTheme="minorHAnsi" w:cstheme="minorHAnsi"/>
                <w:b/>
                <w:sz w:val="20"/>
                <w:szCs w:val="20"/>
              </w:rPr>
            </w:pPr>
            <w:r w:rsidRPr="00B15A11">
              <w:rPr>
                <w:rFonts w:asciiTheme="minorHAnsi" w:hAnsiTheme="minorHAnsi" w:cstheme="minorHAnsi"/>
                <w:sz w:val="20"/>
                <w:szCs w:val="20"/>
              </w:rPr>
              <w:t>Liczba operacji obejmujących budowę, przebudowę i wyposażenie obiektów należących do podmiotów działających w sferze kultury i lokalnej gospodarki (2) .</w:t>
            </w:r>
          </w:p>
        </w:tc>
      </w:tr>
      <w:tr w:rsidR="007B7839" w:rsidRPr="00DD134C" w:rsidTr="00B15A11">
        <w:trPr>
          <w:cantSplit/>
          <w:trHeight w:val="1134"/>
        </w:trPr>
        <w:tc>
          <w:tcPr>
            <w:tcW w:w="861" w:type="dxa"/>
          </w:tcPr>
          <w:p w:rsidR="007B7839" w:rsidRPr="00DD134C" w:rsidRDefault="007B7839" w:rsidP="00EE6467">
            <w:pPr>
              <w:jc w:val="center"/>
              <w:rPr>
                <w:rFonts w:cstheme="minorHAnsi"/>
                <w:b/>
              </w:rPr>
            </w:pPr>
            <w:r w:rsidRPr="00DD134C">
              <w:rPr>
                <w:rFonts w:cstheme="minorHAnsi"/>
              </w:rPr>
              <w:t>2020</w:t>
            </w:r>
          </w:p>
        </w:tc>
        <w:tc>
          <w:tcPr>
            <w:tcW w:w="2224" w:type="dxa"/>
          </w:tcPr>
          <w:p w:rsidR="007B7839" w:rsidRPr="008C4F66" w:rsidRDefault="007B7839" w:rsidP="008C4F66">
            <w:pPr>
              <w:jc w:val="center"/>
              <w:rPr>
                <w:rFonts w:cstheme="minorHAnsi"/>
                <w:b/>
              </w:rPr>
            </w:pPr>
            <w:r w:rsidRPr="008C4F66">
              <w:rPr>
                <w:rFonts w:cstheme="minorHAnsi"/>
                <w:b/>
              </w:rPr>
              <w:t>Przedsięwzięcie II.2.1</w:t>
            </w:r>
          </w:p>
          <w:p w:rsidR="007B7839" w:rsidRPr="00DD134C" w:rsidRDefault="007B7839" w:rsidP="008C4F66">
            <w:pPr>
              <w:jc w:val="center"/>
              <w:rPr>
                <w:rFonts w:cstheme="minorHAnsi"/>
              </w:rPr>
            </w:pPr>
            <w:r w:rsidRPr="008C4F66">
              <w:rPr>
                <w:rFonts w:cstheme="minorHAnsi"/>
                <w:b/>
              </w:rPr>
              <w:t>Tworzenie warunków do rozwoju kultury, turystyki, rekreacji i sportu</w:t>
            </w:r>
          </w:p>
        </w:tc>
        <w:tc>
          <w:tcPr>
            <w:tcW w:w="2410" w:type="dxa"/>
          </w:tcPr>
          <w:p w:rsidR="007B7839" w:rsidRPr="00DD134C" w:rsidRDefault="007B7839" w:rsidP="00EE6467">
            <w:pPr>
              <w:jc w:val="center"/>
              <w:rPr>
                <w:rFonts w:cstheme="minorHAnsi"/>
                <w:b/>
              </w:rPr>
            </w:pPr>
          </w:p>
        </w:tc>
        <w:tc>
          <w:tcPr>
            <w:tcW w:w="992" w:type="dxa"/>
            <w:textDirection w:val="btLr"/>
          </w:tcPr>
          <w:p w:rsidR="007B7839" w:rsidRPr="00B15A11" w:rsidRDefault="007B7839" w:rsidP="00B15A11">
            <w:pPr>
              <w:ind w:left="113" w:right="113"/>
              <w:jc w:val="center"/>
              <w:rPr>
                <w:rFonts w:cstheme="minorHAnsi"/>
                <w:b/>
              </w:rPr>
            </w:pPr>
            <w:r w:rsidRPr="00B15A11">
              <w:rPr>
                <w:rFonts w:cstheme="minorHAnsi"/>
                <w:b/>
              </w:rPr>
              <w:t>650 000,00</w:t>
            </w:r>
          </w:p>
        </w:tc>
        <w:tc>
          <w:tcPr>
            <w:tcW w:w="7733" w:type="dxa"/>
          </w:tcPr>
          <w:p w:rsidR="00A826E1" w:rsidRPr="00B15A11" w:rsidRDefault="00A826E1" w:rsidP="003870A4">
            <w:pPr>
              <w:pStyle w:val="Default"/>
              <w:jc w:val="both"/>
              <w:rPr>
                <w:rFonts w:asciiTheme="minorHAnsi" w:hAnsiTheme="minorHAnsi" w:cstheme="minorHAnsi"/>
                <w:sz w:val="20"/>
                <w:szCs w:val="20"/>
              </w:rPr>
            </w:pPr>
            <w:r w:rsidRPr="00B15A11">
              <w:rPr>
                <w:rFonts w:asciiTheme="minorHAnsi" w:hAnsiTheme="minorHAnsi" w:cstheme="minorHAnsi"/>
                <w:sz w:val="20"/>
                <w:szCs w:val="20"/>
              </w:rPr>
              <w:t xml:space="preserve">W ramach przedsięwzięcia wspierane będą operacje które przyczyniają się do tworzenia warunków do rozwoju kultury, turystyki, rekreacji i sportu na obszarze LGD oraz wspierać będą rozwój zintegrowanej oferty kulturalno- turystycznej i rekreacyjnej opartej na lokalnych zasobach. Przedsięwzięcia pozwalać będą zaspokoić oczekiwania zgłaszane na etapie konsultacji LSR tj wspierać inwestycje w ogólnodostępne place zabaw, zewnętrzne siłownie, miejsca rekreacji, ścieżki zdrowia, miejsca do uprawiania sportu i rekreacji. </w:t>
            </w:r>
          </w:p>
          <w:p w:rsidR="00A826E1" w:rsidRPr="00B15A11" w:rsidRDefault="00A826E1" w:rsidP="003870A4">
            <w:pPr>
              <w:pStyle w:val="Default"/>
              <w:jc w:val="both"/>
              <w:rPr>
                <w:rFonts w:asciiTheme="minorHAnsi" w:hAnsiTheme="minorHAnsi" w:cstheme="minorHAnsi"/>
                <w:sz w:val="20"/>
                <w:szCs w:val="20"/>
              </w:rPr>
            </w:pPr>
            <w:r w:rsidRPr="00B15A11">
              <w:rPr>
                <w:rFonts w:asciiTheme="minorHAnsi" w:hAnsiTheme="minorHAnsi" w:cstheme="minorHAnsi"/>
                <w:sz w:val="20"/>
                <w:szCs w:val="20"/>
              </w:rPr>
              <w:t xml:space="preserve">Projekty będą kierowane w szczególności do następujących grup docelowych: osoby przedsiębiorcze zamieszkujących obszar LGD, w szczególności kobiety i osoby młode wchodzące na rynek pracy, liderów lokalnych społeczności działający w strukturach sformalizowanych i w grupach nieformalnych, aktywnych mieszkańców obszaru LGD, gości i turystów. </w:t>
            </w:r>
          </w:p>
          <w:p w:rsidR="00A826E1" w:rsidRPr="00B15A11" w:rsidRDefault="00A826E1" w:rsidP="003870A4">
            <w:pPr>
              <w:pStyle w:val="Default"/>
              <w:jc w:val="both"/>
              <w:rPr>
                <w:rFonts w:asciiTheme="minorHAnsi" w:hAnsiTheme="minorHAnsi" w:cstheme="minorHAnsi"/>
                <w:b/>
                <w:sz w:val="20"/>
                <w:szCs w:val="20"/>
              </w:rPr>
            </w:pPr>
            <w:r w:rsidRPr="00B15A11">
              <w:rPr>
                <w:rFonts w:asciiTheme="minorHAnsi" w:hAnsiTheme="minorHAnsi" w:cstheme="minorHAnsi"/>
                <w:b/>
                <w:sz w:val="20"/>
                <w:szCs w:val="20"/>
              </w:rPr>
              <w:t xml:space="preserve">Wskaźnik produktu: </w:t>
            </w:r>
          </w:p>
          <w:p w:rsidR="007B7839" w:rsidRPr="00B15A11" w:rsidRDefault="00A826E1" w:rsidP="003870A4">
            <w:pPr>
              <w:pStyle w:val="Akapitzlist"/>
              <w:numPr>
                <w:ilvl w:val="0"/>
                <w:numId w:val="12"/>
              </w:numPr>
              <w:jc w:val="both"/>
              <w:rPr>
                <w:rFonts w:cstheme="minorHAnsi"/>
                <w:b/>
                <w:sz w:val="20"/>
                <w:szCs w:val="20"/>
              </w:rPr>
            </w:pPr>
            <w:r w:rsidRPr="00B15A11">
              <w:rPr>
                <w:rFonts w:cstheme="minorHAnsi"/>
                <w:sz w:val="20"/>
                <w:szCs w:val="20"/>
              </w:rPr>
              <w:t>Liczba nowych lub zmodernizowanych obiektów infrastruktury kulturalnej, turystycznej i rekreacyjnej</w:t>
            </w:r>
            <w:r w:rsidR="0067706A" w:rsidRPr="00B15A11">
              <w:rPr>
                <w:rFonts w:cstheme="minorHAnsi"/>
                <w:sz w:val="20"/>
                <w:szCs w:val="20"/>
              </w:rPr>
              <w:t xml:space="preserve"> (3)</w:t>
            </w:r>
            <w:r w:rsidRPr="00B15A11">
              <w:rPr>
                <w:rFonts w:cstheme="minorHAnsi"/>
                <w:sz w:val="20"/>
                <w:szCs w:val="20"/>
              </w:rPr>
              <w:t>.</w:t>
            </w:r>
          </w:p>
        </w:tc>
      </w:tr>
      <w:tr w:rsidR="007B7839" w:rsidRPr="00DD134C" w:rsidTr="00B15A11">
        <w:trPr>
          <w:cantSplit/>
          <w:trHeight w:val="1134"/>
        </w:trPr>
        <w:tc>
          <w:tcPr>
            <w:tcW w:w="861" w:type="dxa"/>
          </w:tcPr>
          <w:p w:rsidR="007B7839" w:rsidRPr="00DD134C" w:rsidRDefault="007B7839" w:rsidP="00EE6467">
            <w:pPr>
              <w:jc w:val="center"/>
              <w:rPr>
                <w:rFonts w:cstheme="minorHAnsi"/>
                <w:b/>
              </w:rPr>
            </w:pPr>
          </w:p>
        </w:tc>
        <w:tc>
          <w:tcPr>
            <w:tcW w:w="2224" w:type="dxa"/>
          </w:tcPr>
          <w:p w:rsidR="007B7839" w:rsidRPr="008C4F66" w:rsidRDefault="007B7839" w:rsidP="008C4F66">
            <w:pPr>
              <w:jc w:val="center"/>
              <w:rPr>
                <w:rFonts w:cstheme="minorHAnsi"/>
                <w:b/>
              </w:rPr>
            </w:pPr>
            <w:r w:rsidRPr="008C4F66">
              <w:rPr>
                <w:rFonts w:cstheme="minorHAnsi"/>
                <w:b/>
              </w:rPr>
              <w:t>Przedsięwzięcie II.2.2</w:t>
            </w:r>
          </w:p>
          <w:p w:rsidR="007B7839" w:rsidRPr="00DD134C" w:rsidRDefault="007B7839" w:rsidP="008C4F66">
            <w:pPr>
              <w:jc w:val="center"/>
              <w:rPr>
                <w:rFonts w:cstheme="minorHAnsi"/>
              </w:rPr>
            </w:pPr>
            <w:r w:rsidRPr="008C4F66">
              <w:rPr>
                <w:rFonts w:cstheme="minorHAnsi"/>
                <w:b/>
              </w:rPr>
              <w:t>Przedsięwzięcia inwestycyjne służące ochronie walorów przyrodniczych, zachowaniu ekosystemów, ochronie zabytkowej miejscowości</w:t>
            </w:r>
          </w:p>
        </w:tc>
        <w:tc>
          <w:tcPr>
            <w:tcW w:w="2410" w:type="dxa"/>
          </w:tcPr>
          <w:p w:rsidR="007B7839" w:rsidRPr="00DD134C" w:rsidRDefault="007B7839" w:rsidP="00EE6467">
            <w:pPr>
              <w:jc w:val="center"/>
              <w:rPr>
                <w:rFonts w:cstheme="minorHAnsi"/>
                <w:b/>
              </w:rPr>
            </w:pPr>
          </w:p>
        </w:tc>
        <w:tc>
          <w:tcPr>
            <w:tcW w:w="992" w:type="dxa"/>
            <w:textDirection w:val="btLr"/>
          </w:tcPr>
          <w:p w:rsidR="007B7839" w:rsidRPr="00B15A11" w:rsidRDefault="007B7839" w:rsidP="00B15A11">
            <w:pPr>
              <w:ind w:left="113" w:right="113"/>
              <w:jc w:val="center"/>
              <w:rPr>
                <w:rFonts w:cstheme="minorHAnsi"/>
                <w:b/>
              </w:rPr>
            </w:pPr>
            <w:r w:rsidRPr="00B15A11">
              <w:rPr>
                <w:rFonts w:cstheme="minorHAnsi"/>
                <w:b/>
              </w:rPr>
              <w:t>650 000,00</w:t>
            </w:r>
          </w:p>
        </w:tc>
        <w:tc>
          <w:tcPr>
            <w:tcW w:w="7733" w:type="dxa"/>
          </w:tcPr>
          <w:p w:rsidR="00A826E1" w:rsidRPr="00DD134C" w:rsidRDefault="00A826E1" w:rsidP="003870A4">
            <w:pPr>
              <w:pStyle w:val="Default"/>
              <w:jc w:val="both"/>
              <w:rPr>
                <w:rFonts w:asciiTheme="minorHAnsi" w:hAnsiTheme="minorHAnsi" w:cstheme="minorHAnsi"/>
                <w:sz w:val="22"/>
                <w:szCs w:val="22"/>
              </w:rPr>
            </w:pPr>
            <w:r w:rsidRPr="00DD134C">
              <w:rPr>
                <w:rFonts w:asciiTheme="minorHAnsi" w:hAnsiTheme="minorHAnsi" w:cstheme="minorHAnsi"/>
                <w:sz w:val="22"/>
                <w:szCs w:val="22"/>
              </w:rPr>
              <w:t xml:space="preserve">W ramach przedsięwzięcia wspierane będą inwestycyjne operacje służące zachowaniu wyjątkowych, lokalnych walorów kulturowych, przyrodniczych, świadczących o charakterze miejscowości np. poprzez inwestycje w renowację i konserwację zabytków lokalnych oraz miejsc stanowiących o zabytkowym charakterze miejscowości z obszaru LGD. Wspierane będą działania informacyjno- promocyjne promujące obszar; powstawanie tablic edukacyjnych, informacji o pomnikach przyrody, inwestycje w tzw. mała architekturę, miejskie, edukacyjne warzywniki. </w:t>
            </w:r>
          </w:p>
          <w:p w:rsidR="00A826E1" w:rsidRPr="00DD134C" w:rsidRDefault="00A826E1" w:rsidP="003870A4">
            <w:pPr>
              <w:pStyle w:val="Default"/>
              <w:jc w:val="both"/>
              <w:rPr>
                <w:rFonts w:asciiTheme="minorHAnsi" w:hAnsiTheme="minorHAnsi" w:cstheme="minorHAnsi"/>
                <w:sz w:val="22"/>
                <w:szCs w:val="22"/>
              </w:rPr>
            </w:pPr>
            <w:r w:rsidRPr="00DD134C">
              <w:rPr>
                <w:rFonts w:asciiTheme="minorHAnsi" w:hAnsiTheme="minorHAnsi" w:cstheme="minorHAnsi"/>
                <w:sz w:val="22"/>
                <w:szCs w:val="22"/>
              </w:rPr>
              <w:t xml:space="preserve">Projekty będą kierowane w szczególności do następujących grup docelowych: osoby przedsiębiorcze zamieszkujących obszar LGD, w szczególności kobiety i osoby młode wchodzące na rynek pracy, liderów lokalnych społeczności działający w strukturach sformalizowanych i w grupach nieformalnych, aktywnych mieszkańców obszaru LGD, turystów. </w:t>
            </w:r>
          </w:p>
          <w:p w:rsidR="00A826E1" w:rsidRPr="0067706A" w:rsidRDefault="00A826E1" w:rsidP="003870A4">
            <w:pPr>
              <w:pStyle w:val="Default"/>
              <w:jc w:val="both"/>
              <w:rPr>
                <w:rFonts w:asciiTheme="minorHAnsi" w:hAnsiTheme="minorHAnsi" w:cstheme="minorHAnsi"/>
                <w:b/>
                <w:sz w:val="22"/>
                <w:szCs w:val="22"/>
              </w:rPr>
            </w:pPr>
            <w:r w:rsidRPr="0067706A">
              <w:rPr>
                <w:rFonts w:asciiTheme="minorHAnsi" w:hAnsiTheme="minorHAnsi" w:cstheme="minorHAnsi"/>
                <w:b/>
                <w:sz w:val="22"/>
                <w:szCs w:val="22"/>
              </w:rPr>
              <w:t xml:space="preserve">Wskaźnik produktu: </w:t>
            </w:r>
          </w:p>
          <w:p w:rsidR="007B7839" w:rsidRPr="0067706A" w:rsidRDefault="00A826E1" w:rsidP="003870A4">
            <w:pPr>
              <w:pStyle w:val="Default"/>
              <w:numPr>
                <w:ilvl w:val="0"/>
                <w:numId w:val="14"/>
              </w:numPr>
              <w:jc w:val="both"/>
              <w:rPr>
                <w:rFonts w:cstheme="minorHAnsi"/>
                <w:b/>
              </w:rPr>
            </w:pPr>
            <w:r w:rsidRPr="00DF5F97">
              <w:rPr>
                <w:rFonts w:asciiTheme="minorHAnsi" w:hAnsiTheme="minorHAnsi" w:cstheme="minorHAnsi"/>
                <w:sz w:val="22"/>
                <w:szCs w:val="22"/>
              </w:rPr>
              <w:t>Liczba zabytków oraz miejsc stanowiących o zabytkowym charakterze miejscowości z obszaru LGD poddanych pracom konserwatorskim lub restauratorskim w wyniku wsparcia otrzymanego w ramach realizacji strategii</w:t>
            </w:r>
            <w:r w:rsidR="00DF5F97">
              <w:rPr>
                <w:rFonts w:asciiTheme="minorHAnsi" w:hAnsiTheme="minorHAnsi" w:cstheme="minorHAnsi"/>
                <w:sz w:val="22"/>
                <w:szCs w:val="22"/>
              </w:rPr>
              <w:t xml:space="preserve"> (4)</w:t>
            </w:r>
            <w:r w:rsidRPr="00DF5F97">
              <w:rPr>
                <w:rFonts w:asciiTheme="minorHAnsi" w:hAnsiTheme="minorHAnsi" w:cstheme="minorHAnsi"/>
                <w:sz w:val="22"/>
                <w:szCs w:val="22"/>
              </w:rPr>
              <w:t>.</w:t>
            </w:r>
          </w:p>
        </w:tc>
      </w:tr>
    </w:tbl>
    <w:p w:rsidR="008C4F66" w:rsidRDefault="008C4F66">
      <w:pPr>
        <w:sectPr w:rsidR="008C4F66" w:rsidSect="008C4F66">
          <w:footerReference w:type="default" r:id="rId7"/>
          <w:pgSz w:w="16838" w:h="11906" w:orient="landscape"/>
          <w:pgMar w:top="1417" w:right="1417" w:bottom="1417" w:left="1417" w:header="708" w:footer="708" w:gutter="0"/>
          <w:cols w:space="708"/>
          <w:docGrid w:linePitch="360"/>
        </w:sectPr>
      </w:pPr>
      <w:r>
        <w:br w:type="page"/>
      </w:r>
    </w:p>
    <w:p w:rsidR="00EE6467" w:rsidRPr="00CC47CD" w:rsidRDefault="00EE6467" w:rsidP="00E82299">
      <w:pPr>
        <w:jc w:val="center"/>
      </w:pPr>
    </w:p>
    <w:sectPr w:rsidR="00EE6467" w:rsidRPr="00CC47CD" w:rsidSect="005E63D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989" w:rsidRDefault="00DF3989" w:rsidP="008C4F66">
      <w:pPr>
        <w:spacing w:after="0" w:line="240" w:lineRule="auto"/>
      </w:pPr>
      <w:r>
        <w:separator/>
      </w:r>
    </w:p>
  </w:endnote>
  <w:endnote w:type="continuationSeparator" w:id="0">
    <w:p w:rsidR="00DF3989" w:rsidRDefault="00DF3989" w:rsidP="008C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4480"/>
      <w:docPartObj>
        <w:docPartGallery w:val="Page Numbers (Bottom of Page)"/>
        <w:docPartUnique/>
      </w:docPartObj>
    </w:sdtPr>
    <w:sdtEndPr/>
    <w:sdtContent>
      <w:p w:rsidR="008C4F66" w:rsidRDefault="007D5963">
        <w:pPr>
          <w:pStyle w:val="Stopka"/>
          <w:jc w:val="right"/>
        </w:pPr>
        <w:r>
          <w:fldChar w:fldCharType="begin"/>
        </w:r>
        <w:r>
          <w:instrText xml:space="preserve"> PAGE   \* MERGEFORMAT </w:instrText>
        </w:r>
        <w:r>
          <w:fldChar w:fldCharType="separate"/>
        </w:r>
        <w:r w:rsidR="00E82299">
          <w:rPr>
            <w:noProof/>
          </w:rPr>
          <w:t>1</w:t>
        </w:r>
        <w:r>
          <w:rPr>
            <w:noProof/>
          </w:rPr>
          <w:fldChar w:fldCharType="end"/>
        </w:r>
      </w:p>
    </w:sdtContent>
  </w:sdt>
  <w:p w:rsidR="008C4F66" w:rsidRDefault="00A75D1A">
    <w:pPr>
      <w:pStyle w:val="Stopka"/>
    </w:pPr>
    <w:r>
      <w:t>Stowarzyszenie LGD Zielone Sąsiedztwo</w:t>
    </w:r>
    <w:r>
      <w:tab/>
    </w:r>
    <w:r>
      <w:tab/>
      <w:t xml:space="preserve"> WWW.zielonesasiedztwo.pl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989" w:rsidRDefault="00DF3989" w:rsidP="008C4F66">
      <w:pPr>
        <w:spacing w:after="0" w:line="240" w:lineRule="auto"/>
      </w:pPr>
      <w:r>
        <w:separator/>
      </w:r>
    </w:p>
  </w:footnote>
  <w:footnote w:type="continuationSeparator" w:id="0">
    <w:p w:rsidR="00DF3989" w:rsidRDefault="00DF3989" w:rsidP="008C4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5072366"/>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AAA55A6"/>
    <w:multiLevelType w:val="hybridMultilevel"/>
    <w:tmpl w:val="2DAEEE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C1701"/>
    <w:multiLevelType w:val="hybridMultilevel"/>
    <w:tmpl w:val="7C22C3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29774E"/>
    <w:multiLevelType w:val="hybridMultilevel"/>
    <w:tmpl w:val="8326C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F752B0"/>
    <w:multiLevelType w:val="hybridMultilevel"/>
    <w:tmpl w:val="D8C6B4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6D58BD"/>
    <w:multiLevelType w:val="hybridMultilevel"/>
    <w:tmpl w:val="AF0AB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6D02F6"/>
    <w:multiLevelType w:val="hybridMultilevel"/>
    <w:tmpl w:val="F73C5E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88776A"/>
    <w:multiLevelType w:val="hybridMultilevel"/>
    <w:tmpl w:val="DAACAE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5F15130"/>
    <w:multiLevelType w:val="hybridMultilevel"/>
    <w:tmpl w:val="86225A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09A4104"/>
    <w:multiLevelType w:val="hybridMultilevel"/>
    <w:tmpl w:val="E5965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CA2640"/>
    <w:multiLevelType w:val="hybridMultilevel"/>
    <w:tmpl w:val="7110FC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46A69BA"/>
    <w:multiLevelType w:val="hybridMultilevel"/>
    <w:tmpl w:val="F73C5E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5DB292E"/>
    <w:multiLevelType w:val="hybridMultilevel"/>
    <w:tmpl w:val="236C4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83B4171"/>
    <w:multiLevelType w:val="hybridMultilevel"/>
    <w:tmpl w:val="DAACAE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10"/>
  </w:num>
  <w:num w:numId="6">
    <w:abstractNumId w:val="7"/>
  </w:num>
  <w:num w:numId="7">
    <w:abstractNumId w:val="12"/>
  </w:num>
  <w:num w:numId="8">
    <w:abstractNumId w:val="2"/>
  </w:num>
  <w:num w:numId="9">
    <w:abstractNumId w:val="9"/>
  </w:num>
  <w:num w:numId="10">
    <w:abstractNumId w:val="3"/>
  </w:num>
  <w:num w:numId="11">
    <w:abstractNumId w:val="13"/>
  </w:num>
  <w:num w:numId="12">
    <w:abstractNumId w:val="6"/>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5D"/>
    <w:rsid w:val="00066672"/>
    <w:rsid w:val="00083797"/>
    <w:rsid w:val="000851B9"/>
    <w:rsid w:val="000948CA"/>
    <w:rsid w:val="000F695D"/>
    <w:rsid w:val="001502CF"/>
    <w:rsid w:val="00167C06"/>
    <w:rsid w:val="002369FC"/>
    <w:rsid w:val="0027754C"/>
    <w:rsid w:val="002C6CDB"/>
    <w:rsid w:val="00372261"/>
    <w:rsid w:val="0037716D"/>
    <w:rsid w:val="003870A4"/>
    <w:rsid w:val="004108F1"/>
    <w:rsid w:val="00473034"/>
    <w:rsid w:val="004D41C8"/>
    <w:rsid w:val="004E5C69"/>
    <w:rsid w:val="005E63D2"/>
    <w:rsid w:val="0067706A"/>
    <w:rsid w:val="007B7839"/>
    <w:rsid w:val="007D5963"/>
    <w:rsid w:val="007F39B8"/>
    <w:rsid w:val="00817701"/>
    <w:rsid w:val="008C4F66"/>
    <w:rsid w:val="009C41E0"/>
    <w:rsid w:val="00A75D1A"/>
    <w:rsid w:val="00A826E1"/>
    <w:rsid w:val="00B15A11"/>
    <w:rsid w:val="00B24359"/>
    <w:rsid w:val="00CC47CD"/>
    <w:rsid w:val="00D359C4"/>
    <w:rsid w:val="00DD134C"/>
    <w:rsid w:val="00DF3989"/>
    <w:rsid w:val="00DF5F97"/>
    <w:rsid w:val="00E20B7A"/>
    <w:rsid w:val="00E45EA6"/>
    <w:rsid w:val="00E728C4"/>
    <w:rsid w:val="00E82299"/>
    <w:rsid w:val="00EA4584"/>
    <w:rsid w:val="00EE6467"/>
    <w:rsid w:val="00F445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79B61D-7F96-44F2-9F2B-4E80349D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D41C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73034"/>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59"/>
    <w:rsid w:val="00EE6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E6467"/>
    <w:pPr>
      <w:spacing w:after="0" w:line="240" w:lineRule="auto"/>
      <w:ind w:left="720"/>
      <w:contextualSpacing/>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359C4"/>
    <w:rPr>
      <w:color w:val="0000FF" w:themeColor="hyperlink"/>
      <w:u w:val="single"/>
    </w:rPr>
  </w:style>
  <w:style w:type="paragraph" w:styleId="Nagwek">
    <w:name w:val="header"/>
    <w:basedOn w:val="Normalny"/>
    <w:link w:val="NagwekZnak"/>
    <w:uiPriority w:val="99"/>
    <w:semiHidden/>
    <w:unhideWhenUsed/>
    <w:rsid w:val="008C4F6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C4F66"/>
  </w:style>
  <w:style w:type="paragraph" w:styleId="Stopka">
    <w:name w:val="footer"/>
    <w:basedOn w:val="Normalny"/>
    <w:link w:val="StopkaZnak"/>
    <w:uiPriority w:val="99"/>
    <w:unhideWhenUsed/>
    <w:rsid w:val="008C4F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4F66"/>
  </w:style>
  <w:style w:type="paragraph" w:styleId="Tekstdymka">
    <w:name w:val="Balloon Text"/>
    <w:basedOn w:val="Normalny"/>
    <w:link w:val="TekstdymkaZnak"/>
    <w:uiPriority w:val="99"/>
    <w:semiHidden/>
    <w:unhideWhenUsed/>
    <w:rsid w:val="005E63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63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1006</Words>
  <Characters>6038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Łukasiewicz</dc:creator>
  <cp:lastModifiedBy>Sylwia Dąbrówka</cp:lastModifiedBy>
  <cp:revision>2</cp:revision>
  <cp:lastPrinted>2017-05-10T12:49:00Z</cp:lastPrinted>
  <dcterms:created xsi:type="dcterms:W3CDTF">2017-05-26T12:01:00Z</dcterms:created>
  <dcterms:modified xsi:type="dcterms:W3CDTF">2017-05-26T12:01:00Z</dcterms:modified>
</cp:coreProperties>
</file>